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Compatibilidad del uso Industria ligera en política de Aprovechamiento Agropecuario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Compatibilidad del uso Industria ligera en política de Aprovechamiento Agropecuario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Políticas de aprovechamiento agropecuario con uso compatible industrial para la instalación de industria ligera, de acuerdo al Programa de Ordenamiento Ecológico y Territorial Regional Lagunas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Identificar las zonas del territorio que presentan compatibilidad para el establecimiento y desarrollo de actividades industriales ligeras, con base en la vocación del suelo, la infraestructura disponible y los criterios normativos y de regulación territorial aplicables.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industria, industria ligera, maquinaria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.gpkg, .kml, .kmz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RL_OET_IND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 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623681.001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</w:t>
            </w:r>
            <w:r w:rsidDel="00000000" w:rsidR="00000000" w:rsidRPr="00000000">
              <w:rPr>
                <w:color w:val="0f1115"/>
                <w:rtl w:val="0"/>
              </w:rPr>
              <w:t xml:space="preserve">688280.875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</w:t>
            </w:r>
            <w:r w:rsidDel="00000000" w:rsidR="00000000" w:rsidRPr="00000000">
              <w:rPr>
                <w:color w:val="0f1115"/>
                <w:rtl w:val="0"/>
              </w:rPr>
              <w:t xml:space="preserve">2187816.250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</w:t>
            </w:r>
            <w:r w:rsidDel="00000000" w:rsidR="00000000" w:rsidRPr="00000000">
              <w:rPr>
                <w:color w:val="0f1115"/>
                <w:rtl w:val="0"/>
              </w:rPr>
              <w:t xml:space="preserve">2272723.000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60,637.00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La capa identifica las zonas aptas para el establecimiento y desarrollo de actividades industriales, conforme a la vocación del suelo y los criterios de regulación aplicables.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 de políticas ambientales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Estas zonas se identifican mediante el filtrado de las capas de políticas territoriales que contemplan la política de aprovechamiento agropecuario con uso compatible industrial.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"/>
        <w:gridCol w:w="2835"/>
        <w:gridCol w:w="2310"/>
        <w:gridCol w:w="3450"/>
        <w:tblGridChange w:id="0">
          <w:tblGrid>
            <w:gridCol w:w="765"/>
            <w:gridCol w:w="2835"/>
            <w:gridCol w:w="2310"/>
            <w:gridCol w:w="345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AREA_HA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real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Área en hectáreas.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3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/>
      </w:pPr>
      <w:r w:rsidDel="00000000" w:rsidR="00000000" w:rsidRPr="00000000">
        <w:rPr>
          <w:rtl w:val="0"/>
        </w:rPr>
        <w:t xml:space="preserve">SEMADET (2025). Compatibilidad del uso Industria ligera en política de Aprovechamiento Agropecuario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7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(s/d). Programa de Ordenamiento Ecológico y Territorial Regional Lagunas: Compatibilidad del uso Industria ligera en política de Aprovechamiento Agropecuario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